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163CFE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163CFE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163CFE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163CFE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>Praça dos Três Poderes, 23</w:t>
      </w:r>
      <w:r>
        <w:rPr>
          <w:rFonts w:ascii="Arial" w:eastAsia="Arial" w:hAnsi="Arial" w:cs="Arial"/>
          <w:sz w:val="20"/>
        </w:rPr>
        <w:t xml:space="preserve"> - Centro </w:t>
      </w:r>
    </w:p>
    <w:p w:rsidR="005357AB" w:rsidRDefault="00163CFE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163CFE" w:rsidP="00981D81">
            <w:pPr>
              <w:spacing w:after="0"/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à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>
            <w:pPr>
              <w:spacing w:after="0"/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163CF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163CFE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163CFE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163CFE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Ibaiti, 31 de agosto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</w:rPr>
        <w:t xml:space="preserve"> de 2019.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163CFE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163CFE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163CFE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163CFE"/>
    <w:rsid w:val="005357AB"/>
    <w:rsid w:val="00981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DBF44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287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2020-10-01T17:59:00Z</dcterms:created>
  <dcterms:modified xsi:type="dcterms:W3CDTF">2020-10-01T17:59:00Z</dcterms:modified>
</cp:coreProperties>
</file>