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C32A98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C32A98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C32A98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C32A98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C32A98">
        <w:rPr>
          <w:rFonts w:ascii="Times New Roman" w:eastAsia="Times New Roman" w:hAnsi="Times New Roman" w:cs="Times New Roman"/>
          <w:sz w:val="28"/>
        </w:rPr>
        <w:t xml:space="preserve"> NÃO </w:t>
      </w:r>
      <w:r w:rsidR="00C32A98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C32A98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32A98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>Ibaiti, 3</w:t>
      </w:r>
      <w:r w:rsidR="00497BE5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 de janeiro</w:t>
      </w:r>
      <w:r>
        <w:rPr>
          <w:rFonts w:ascii="Times New Roman" w:eastAsia="Times New Roman" w:hAnsi="Times New Roman" w:cs="Times New Roman"/>
          <w:i/>
          <w:sz w:val="28"/>
        </w:rPr>
        <w:t xml:space="preserve"> de 2020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32A98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C32A98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9681B"/>
    <w:rsid w:val="00497BE5"/>
    <w:rsid w:val="00AF46E0"/>
    <w:rsid w:val="00C32A98"/>
    <w:rsid w:val="00C976A1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370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2020-10-01T18:14:00Z</dcterms:created>
  <dcterms:modified xsi:type="dcterms:W3CDTF">2020-10-01T18:14:00Z</dcterms:modified>
</cp:coreProperties>
</file>