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center"/>
        <w:widowControl/>
      </w:pPr>
      <w:r>
        <w:rPr>
          <w:b/>
          <w:sz w:val="26"/>
        </w:rPr>
        <w:t/>
      </w:r>
    </w:p>
    <w:p>
      <w:pPr>
        <w:jc w:val="center"/>
        <w:widowControl/>
      </w:pPr>
      <w:r>
        <w:rPr>
          <w:b/>
          <w:sz w:val="26"/>
        </w:rPr>
        <w:t>AVISO DE LICITAÇÃO</w:t>
      </w:r>
    </w:p>
    <w:p>
      <w:pPr>
        <w:jc w:val="center"/>
        <w:widowControl/>
      </w:pPr>
      <w:r>
        <w:rPr>
          <w:b/>
          <w:sz w:val="26"/>
        </w:rPr>
        <w:t>Concorrência Eletrônica</w:t>
      </w:r>
    </w:p>
    <w:p>
      <w:pPr>
        <w:jc w:val="center"/>
        <w:widowControl/>
      </w:pPr>
      <w:r>
        <w:rPr>
          <w:b/>
          <w:sz w:val="26"/>
        </w:rPr>
        <w:t>EDITAL Nº 001/2026 - PMI</w:t>
      </w:r>
    </w:p>
    <w:p>
      <w:pPr>
        <w:jc w:val="center"/>
        <w:widowControl/>
      </w:pPr>
      <w:r>
        <w:rPr>
          <w:b/>
          <w:sz w:val="26"/>
        </w:rPr>
        <w:t>Processo Administrativo nº 056/2026</w:t>
      </w:r>
    </w:p>
    <w:p>
      <w:pPr>
        <w:jc w:val="both"/>
        <w:widowControl/>
        <w:shd w:val="clear" w:color="auto" w:fill="FFFFFF"/>
      </w:pPr>
      <w:r>
        <w:t/>
      </w:r>
    </w:p>
    <w:p>
      <w:pPr>
        <w:jc w:val="both"/>
        <w:widowControl/>
        <w:tabs>
          <w:tab w:val="left" w:pos="990"/>
        </w:tabs>
      </w:pPr>
      <w:r>
        <w:rPr>
          <w:b/>
        </w:rPr>
        <w:t>OBJETO:</w:t>
      </w:r>
      <w:r>
        <w:t xml:space="preserve"> </w:t>
      </w:r>
      <w:r>
        <w:rPr>
          <w:b/>
        </w:rPr>
        <w:t xml:space="preserve">Contratação, sob regime de empreitada global, tipo menor preço, de empresa especializada na área de engenharia para execução das obras de reforma, ampliação e adequação às novas Normas Técnicas da Construção Civil e Vigilância Sanitária da Escola Municipal Prof. Clovete de Moura Fadel, </w:t>
      </w:r>
      <w:r>
        <w:t>conforme pasta técnica fornecida pelo Departamento de Engenharia,</w:t>
      </w:r>
      <w:r>
        <w:rPr>
          <w:b/>
        </w:rPr>
        <w:t xml:space="preserve"> </w:t>
      </w:r>
      <w:r>
        <w:t>especificações e denominações constantes no Termo de Referência e demais anexos presentes no presente Edital.</w:t>
      </w:r>
    </w:p>
    <w:p>
      <w:pPr>
        <w:jc w:val="both"/>
        <w:widowControl/>
        <w:tabs>
          <w:tab w:val="left" w:pos="990"/>
        </w:tabs>
      </w:pPr>
      <w:r>
        <w:t/>
      </w:r>
    </w:p>
    <w:p>
      <w:pPr>
        <w:jc w:val="both"/>
        <w:widowControl/>
        <w:tabs>
          <w:tab w:val="left" w:pos="990"/>
        </w:tabs>
      </w:pPr>
      <w:r>
        <w:t/>
      </w:r>
    </w:p>
    <w:p>
      <w:pPr>
        <w:jc w:val="both"/>
        <w:widowControl/>
      </w:pPr>
      <w:r>
        <w:rPr>
          <w:b/>
        </w:rPr>
        <w:t xml:space="preserve">CRITÉRIO DE JULGAMENTO: </w:t>
      </w:r>
      <w:r>
        <w:t xml:space="preserve">Menor Preço Por lote </w:t>
      </w:r>
    </w:p>
    <w:p>
      <w:pPr>
        <w:jc w:val="both"/>
        <w:widowControl/>
        <w:shd w:val="clear" w:color="auto" w:fill="FFFFFF"/>
      </w:pPr>
      <w:r>
        <w:t/>
      </w:r>
    </w:p>
    <w:p>
      <w:pPr>
        <w:jc w:val="both"/>
        <w:widowControl/>
        <w:shd w:val="clear" w:color="auto" w:fill="FFFFFF"/>
      </w:pPr>
      <w:r>
        <w:rPr>
          <w:b/>
        </w:rPr>
        <w:t>MODO DE DISPUTA:</w:t>
      </w:r>
      <w:r>
        <w:t xml:space="preserve"> Aberto-Fechado</w:t>
      </w:r>
    </w:p>
    <w:p>
      <w:pPr>
        <w:jc w:val="both"/>
        <w:widowControl/>
        <w:shd w:val="clear" w:color="auto" w:fill="FFFFFF"/>
      </w:pPr>
      <w:r>
        <w:t/>
      </w:r>
    </w:p>
    <w:p>
      <w:pPr>
        <w:jc w:val="both"/>
        <w:widowControl/>
        <w:shd w:val="clear" w:color="auto" w:fill="FFFFFF"/>
      </w:pPr>
      <w:r>
        <w:rPr>
          <w:b/>
        </w:rPr>
        <w:t>VALOR MÁXIMO DA PROPOSTA</w:t>
      </w:r>
      <w:r>
        <w:t>: R$ 686.755,25 (Seiscentos e Oitenta e Seis Mil, Setecentos e Cinquenta e Cinco Reais e Vinte e Cinco Centavos).</w:t>
      </w:r>
    </w:p>
    <w:p>
      <w:pPr>
        <w:jc w:val="both"/>
        <w:widowControl/>
        <w:shd w:val="clear" w:color="auto" w:fill="FFFFFF"/>
      </w:pPr>
      <w:r>
        <w:t/>
      </w:r>
    </w:p>
    <w:p>
      <w:pPr>
        <w:jc w:val="both"/>
        <w:widowControl/>
        <w:shd w:val="clear" w:color="auto" w:fill="FFFFFF"/>
      </w:pPr>
      <w:r>
        <w:rPr>
          <w:b/>
        </w:rPr>
        <w:t>RECEBIMENTO DAS PROPOSTAS</w:t>
      </w:r>
      <w:r>
        <w:t>: Até as 09:00 (nove horas) do dia 17/04/2026 (dezessete dias de abril de 2026).</w:t>
      </w:r>
    </w:p>
    <w:p>
      <w:pPr>
        <w:jc w:val="both"/>
        <w:widowControl/>
        <w:shd w:val="clear" w:color="auto" w:fill="FFFFFF"/>
      </w:pPr>
      <w:r>
        <w:t/>
      </w:r>
    </w:p>
    <w:p>
      <w:pPr>
        <w:jc w:val="both"/>
        <w:widowControl/>
        <w:shd w:val="clear" w:color="auto" w:fill="FFFFFF"/>
      </w:pPr>
      <w:r>
        <w:rPr>
          <w:b/>
        </w:rPr>
        <w:t xml:space="preserve">INÍCIO DA SESSÃO DE DISPUTA DE PREÇOS: </w:t>
      </w:r>
      <w:r>
        <w:t>Às 09:30 (nove horas e trinta minutos) do dia 17/04/2026 (dezessete dias de abril de 2026).</w:t>
      </w:r>
    </w:p>
    <w:p>
      <w:pPr>
        <w:jc w:val="both"/>
        <w:widowControl/>
        <w:shd w:val="clear" w:color="auto" w:fill="FFFFFF"/>
      </w:pPr>
      <w:r>
        <w:t/>
      </w:r>
    </w:p>
    <w:p>
      <w:pPr>
        <w:jc w:val="both"/>
        <w:widowControl/>
        <w:shd w:val="clear" w:color="auto" w:fill="FFFFFF"/>
      </w:pPr>
      <w:r>
        <w:rPr>
          <w:b/>
        </w:rPr>
        <w:t>LOCAL DA REALIZAÇÃO DA LICITAÇÃO:</w:t>
      </w:r>
      <w:r>
        <w:t xml:space="preserve"> online através do site: www.bll.org.br.</w:t>
      </w:r>
    </w:p>
    <w:p>
      <w:pPr>
        <w:jc w:val="both"/>
        <w:widowControl/>
        <w:shd w:val="clear" w:color="auto" w:fill="FFFFFF"/>
      </w:pPr>
      <w:r>
        <w:t/>
      </w:r>
    </w:p>
    <w:p>
      <w:pPr>
        <w:jc w:val="both"/>
        <w:widowControl/>
        <w:shd w:val="clear" w:color="auto" w:fill="FFFFFF"/>
      </w:pPr>
      <w:r>
        <w:rPr>
          <w:b/>
        </w:rPr>
        <w:t>RETIRADA DO EDITAL:</w:t>
      </w:r>
      <w:r>
        <w:t xml:space="preserve"> Disponível na íntegra no site do Município de Ibaiti, www.ibaiti.pr.gov.br.</w:t>
      </w:r>
    </w:p>
    <w:p>
      <w:pPr>
        <w:jc w:val="both"/>
        <w:widowControl/>
        <w:shd w:val="clear" w:color="auto" w:fill="FFFFFF"/>
      </w:pPr>
      <w:r>
        <w:t/>
      </w:r>
    </w:p>
    <w:p>
      <w:pPr>
        <w:jc w:val="both"/>
        <w:widowControl/>
        <w:shd w:val="clear" w:color="auto" w:fill="FFFFFF"/>
      </w:pPr>
      <w:r>
        <w:t/>
      </w:r>
    </w:p>
    <w:p>
      <w:pPr>
        <w:jc w:val="center"/>
        <w:widowControl/>
      </w:pPr>
      <w:r>
        <w:t>IBAITI, 30 de março de 2026.</w:t>
      </w:r>
    </w:p>
    <w:p>
      <w:pPr>
        <w:jc w:val="center"/>
        <w:widowControl/>
      </w:pPr>
      <w:r>
        <w:t/>
      </w:r>
    </w:p>
    <w:p>
      <w:pPr>
        <w:jc w:val="center"/>
        <w:widowControl/>
      </w:pPr>
      <w:r>
        <w:t/>
      </w:r>
    </w:p>
    <w:p>
      <w:pPr>
        <w:jc w:val="center"/>
        <w:widowControl/>
      </w:pPr>
      <w:r>
        <w:t/>
      </w:r>
    </w:p>
    <w:p>
      <w:pPr>
        <w:jc w:val="center"/>
        <w:widowControl/>
      </w:pPr>
      <w:r>
        <w:rPr>
          <w:b/>
        </w:rPr>
        <w:t>ROBERTO REGAZZO</w:t>
      </w:r>
    </w:p>
    <w:p>
      <w:pPr>
        <w:jc w:val="center"/>
        <w:widowControl/>
      </w:pPr>
      <w:r>
        <w:t>Prefeito Municipal</w:t>
      </w:r>
    </w:p>
    <w:p>
      <w:pPr>
        <w:jc w:val="center"/>
        <w:widowControl/>
      </w:pPr>
      <w:r>
        <w:t/>
      </w:r>
    </w:p>
    <w:sectPr>
      <w:headerReference w:type="default" r:id="rIdHF0"/>
      <w:footerReference w:type="default" r:id="rIdHF1"/>
      <w:pgSz w:w="11899" w:h="16841"/>
      <w:pgMar w:top="283" w:right="567" w:bottom="283" w:left="850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">
    <w:charset w:val="00"/>
  </w:font>
  <w:font w:name="Calibri">
    <w:charset w:val="00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  <w:widowControl/>
    </w:pPr>
    <w:r>
      <w:rPr>
        <w:rFonts w:ascii="Calibri" w:hAnsi="Calibri" w:cs="Calibri" w:eastAsia="Calibri"/>
        <w:b/>
        <w:sz w:val="18"/>
      </w:rPr>
      <w:t>Praça dos Três Poderes, 23, fone (43) 3546-7450 - CEP 84.900-000 - Ibaiti PR – www.ibaiti.pr.gov.br</w:t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tbl>
    <w:tblPr>
      <w:tblW w:w="5000" w:type="pct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2010"/>
      <w:gridCol w:w="9735"/>
    </w:tblGrid>
    <w:tr>
      <w:trPr>
        <w:tblHeader/>
        <w:trHeight w:val="1755" w:hRule="atLeast"/>
      </w:trPr>
      <w:tc>
        <w:tcPr>
          <w:tcW w:w="850" w:type="pct"/>
          <w:vAlign w:val="center"/>
          <w:shd w:val="clear" w:color="auto" w:fill="FFFFFF"/>
        </w:tcPr>
        <w:p>
          <w:pPr>
            <w:widowControl/>
          </w:pPr>
          <w:r>
            <w:drawing>
              <wp:inline distT="0" distB="0" distL="0" distR="0">
                <wp:extent cx="723900" cy="1085850"/>
                <wp:effectExtent l="0" t="0" r="0" b="0"/>
                <wp:docPr id="1" name="Pic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g1.emf"/>
                        <pic:cNvPicPr/>
                      </pic:nvPicPr>
                      <pic:blipFill>
                        <a:blip r:embed="p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3900" cy="1085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>
          <w:pPr>
            <w:jc w:val="center"/>
            <w:widowControl/>
            <w:ind w:left="1425"/>
            <w:spacing w:lineRule="auto" w:line="360"/>
          </w:pPr>
          <w:r>
            <w:rPr>
              <w:rFonts w:ascii="Calibri" w:hAnsi="Calibri" w:cs="Calibri" w:eastAsia="Calibri"/>
              <w:sz w:val="28"/>
            </w:rPr>
            <w:t/>
          </w:r>
        </w:p>
      </w:tc>
      <w:tc>
        <w:tcPr>
          <w:tcW w:w="4100" w:type="pct"/>
          <w:vAlign w:val="center"/>
          <w:shd w:val="clear" w:color="auto" w:fill="FFFFFF"/>
        </w:tcPr>
        <w:p>
          <w:pPr>
            <w:jc w:val="center"/>
            <w:widowControl/>
            <w:spacing w:lineRule="auto" w:line="360"/>
          </w:pPr>
          <w:r>
            <w:rPr>
              <w:rFonts w:ascii="Calibri" w:hAnsi="Calibri" w:cs="Calibri" w:eastAsia="Calibri"/>
              <w:sz w:val="28"/>
            </w:rPr>
            <w:t>SECRETARIA MUNICIPAL DE ADMINISTRAÇÃO – SEMAD</w:t>
          </w:r>
        </w:p>
        <w:p>
          <w:pPr>
            <w:jc w:val="center"/>
            <w:widowControl/>
            <w:spacing w:lineRule="auto" w:line="360"/>
          </w:pPr>
          <w:r>
            <w:rPr>
              <w:rFonts w:ascii="Calibri" w:hAnsi="Calibri" w:cs="Calibri" w:eastAsia="Calibri"/>
              <w:sz w:val="28"/>
            </w:rPr>
            <w:t>Departamento de Licitação e Contratos</w:t>
          </w:r>
        </w:p>
        <w:p>
          <w:pPr>
            <w:jc w:val="center"/>
            <w:widowControl/>
            <w:spacing w:lineRule="auto" w:line="360"/>
          </w:pPr>
          <w:r>
            <w:rPr>
              <w:rFonts w:ascii="Calibri" w:hAnsi="Calibri" w:cs="Calibri" w:eastAsia="Calibri"/>
              <w:sz w:val="28"/>
            </w:rPr>
            <w:t>Ibaiti – Paraná</w:t>
          </w:r>
        </w:p>
      </w:tc>
    </w:tr>
  </w:tbl>
  <w:p>
    <w:r>
      <w:rPr>
        <w:sz w:val="24"/>
      </w:rPr>
      <w:t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emf"/></Relationships>
</file>